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76"/>
              <w:rPr>
                <w:rFonts w:ascii="Verdana" w:hAnsi="Verdana" w:cs="Verdana"/>
                <w:b/>
              </w:rPr>
            </w:pPr>
            <w:r>
              <w:rPr>
                <w:rFonts w:cs="Verdana" w:ascii="Verdana" w:hAnsi="Verdana"/>
                <w:b/>
              </w:rPr>
            </w:r>
          </w:p>
        </w:tc>
        <w:tc>
          <w:tcPr>
            <w:tcW w:w="6066" w:type="dxa"/>
            <w:tcBorders/>
          </w:tcPr>
          <w:p>
            <w:pPr>
              <w:pStyle w:val="Normal"/>
              <w:widowControl w:val="false"/>
              <w:spacing w:lineRule="auto" w:line="276"/>
              <w:jc w:val="right"/>
              <w:rPr>
                <w:rFonts w:ascii="Verdana" w:hAnsi="Verdana" w:cs="Verdana"/>
                <w:b/>
              </w:rPr>
            </w:pPr>
            <w:r>
              <w:rPr>
                <w:rFonts w:cs="Verdana" w:ascii="Verdana" w:hAnsi="Verdana"/>
                <w:b/>
              </w:rPr>
            </w:r>
          </w:p>
          <w:p>
            <w:pPr>
              <w:pStyle w:val="Normal"/>
              <w:widowControl w:val="false"/>
              <w:spacing w:lineRule="auto" w:line="276"/>
              <w:jc w:val="right"/>
              <w:rPr>
                <w:rFonts w:ascii="Verdana" w:hAnsi="Verdana" w:cs="Verdana"/>
                <w:b/>
              </w:rPr>
            </w:pPr>
            <w:r>
              <w:rPr>
                <w:rFonts w:cs="Verdana" w:ascii="Verdana" w:hAnsi="Verdana"/>
                <w:b/>
              </w:rPr>
              <w:t>MINUTA DE CONTRATO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PREÂMBULO</w:t>
      </w:r>
    </w:p>
    <w:p>
      <w:pPr>
        <w:pStyle w:val="Normal"/>
        <w:spacing w:lineRule="auto" w:line="276"/>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FF0000"/>
        </w:rPr>
        <w:t xml:space="preserve">Processo Administrativo nº 008663/2025 de 03/12/2025, </w:t>
      </w:r>
      <w:r>
        <w:rPr>
          <w:rFonts w:cs="Verdana" w:ascii="Verdana" w:hAnsi="Verdana"/>
          <w:b/>
          <w:bCs/>
          <w:color w:val="FF0000"/>
        </w:rPr>
        <w:t>Pregão Eletrônico nº 079/2025</w:t>
      </w:r>
      <w:r>
        <w:rPr>
          <w:rFonts w:eastAsia="Batang;바탕" w:cs="Verdana" w:ascii="Verdana" w:hAnsi="Verdana"/>
          <w:b/>
          <w:bCs/>
          <w:color w:val="FF0000"/>
        </w:rPr>
        <w:t xml:space="preserve"> de 23/12/2025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true"/>
        <w:spacing w:lineRule="auto" w:line="276"/>
        <w:ind w:hanging="0" w:left="0"/>
        <w:jc w:val="both"/>
        <w:textAlignment w:val="auto"/>
        <w:rPr/>
      </w:pPr>
      <w:r>
        <w:rPr>
          <w:rFonts w:cs="Verdana" w:ascii="Verdana" w:hAnsi="Verdana"/>
        </w:rPr>
        <w:t xml:space="preserve">O Objeto da presente é </w:t>
      </w:r>
      <w:r>
        <w:rPr>
          <w:rFonts w:cs="Arial" w:ascii="Verdana" w:hAnsi="Verdana"/>
          <w:color w:val="000000"/>
        </w:rPr>
        <w:t>aquisição de gêneros alimentícios (ovos e biscoito) em atendimento ao Programa Nacional de Alimentação Escolar – PNAE para atender às necessidades da Secretaria Municipal de Educação</w:t>
      </w:r>
      <w:r>
        <w:rPr>
          <w:rFonts w:eastAsia="Batang;바탕" w:cs="Arial" w:ascii="Verdana" w:hAnsi="Verdana"/>
          <w:color w:val="000000"/>
          <w:kern w:val="2"/>
          <w:lang w:eastAsia="en-US" w:bidi="pt-BR"/>
        </w:rPr>
        <w:t>, conforme c</w:t>
      </w:r>
      <w:r>
        <w:rPr>
          <w:rFonts w:cs="Arial" w:ascii="Verdana" w:hAnsi="Verdana"/>
        </w:rPr>
        <w:t>ondições, quantidades e exigências estabelecidas neste Edital e seus anexos</w:t>
      </w:r>
      <w:r>
        <w:rPr>
          <w:rFonts w:cs="Verdana" w:ascii="Verdana" w:hAnsi="Verdana"/>
        </w:rPr>
        <w:t>.</w:t>
      </w:r>
    </w:p>
    <w:p>
      <w:pPr>
        <w:pStyle w:val="Normal"/>
        <w:tabs>
          <w:tab w:val="clear" w:pos="708"/>
          <w:tab w:val="left" w:pos="10348" w:leader="none"/>
        </w:tabs>
        <w:spacing w:lineRule="auto" w:line="276"/>
        <w:jc w:val="both"/>
        <w:rPr>
          <w:rFonts w:ascii="Verdana" w:hAnsi="Verdana"/>
        </w:rPr>
      </w:pPr>
      <w:r>
        <w:rPr>
          <w:rFonts w:ascii="Verdana" w:hAnsi="Verdana"/>
        </w:rPr>
      </w:r>
    </w:p>
    <w:tbl>
      <w:tblPr>
        <w:tblW w:w="8955" w:type="dxa"/>
        <w:jc w:val="left"/>
        <w:tblInd w:w="79" w:type="dxa"/>
        <w:tblLayout w:type="fixed"/>
        <w:tblCellMar>
          <w:top w:w="55" w:type="dxa"/>
          <w:left w:w="55" w:type="dxa"/>
          <w:bottom w:w="55" w:type="dxa"/>
          <w:right w:w="55" w:type="dxa"/>
        </w:tblCellMar>
        <w:tblLook w:firstRow="1" w:noVBand="1" w:lastRow="0" w:firstColumn="1" w:lastColumn="0" w:noHBand="0" w:val="04a0"/>
      </w:tblPr>
      <w:tblGrid>
        <w:gridCol w:w="795"/>
        <w:gridCol w:w="3675"/>
        <w:gridCol w:w="1020"/>
        <w:gridCol w:w="1980"/>
        <w:gridCol w:w="1485"/>
      </w:tblGrid>
      <w:tr>
        <w:trPr>
          <w:trHeight w:val="285" w:hRule="atLeast"/>
        </w:trPr>
        <w:tc>
          <w:tcPr>
            <w:tcW w:w="79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GÊNEROS</w:t>
            </w:r>
          </w:p>
        </w:tc>
        <w:tc>
          <w:tcPr>
            <w:tcW w:w="102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TOTAL R$</w:t>
            </w:r>
          </w:p>
        </w:tc>
      </w:tr>
      <w:tr>
        <w:trPr/>
        <w:tc>
          <w:tcPr>
            <w:tcW w:w="79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367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02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98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485" w:type="dxa"/>
            <w:tcBorders>
              <w:left w:val="single" w:sz="4" w:space="0" w:color="000000"/>
              <w:bottom w:val="single" w:sz="4" w:space="0" w:color="000000"/>
              <w:right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r>
    </w:tbl>
    <w:p>
      <w:pPr>
        <w:pStyle w:val="Normal"/>
        <w:spacing w:lineRule="auto" w:line="276"/>
        <w:jc w:val="both"/>
        <w:rPr>
          <w:rFonts w:ascii="Verdana" w:hAnsi="Verdana" w:cs="Verdana"/>
          <w:b/>
          <w:iCs/>
        </w:rPr>
      </w:pPr>
      <w:r>
        <w:rPr>
          <w:rFonts w:cs="Verdana" w:ascii="Verdana" w:hAnsi="Verdana"/>
          <w:b/>
          <w:iCs/>
        </w:rPr>
      </w:r>
    </w:p>
    <w:p>
      <w:pPr>
        <w:pStyle w:val="Normal"/>
        <w:spacing w:lineRule="auto" w:line="276"/>
        <w:jc w:val="both"/>
        <w:rPr>
          <w:rFonts w:ascii="Verdana" w:hAnsi="Verdana" w:cs="Verdana"/>
          <w:b/>
          <w:u w:val="single"/>
        </w:rPr>
      </w:pPr>
      <w:r>
        <w:rPr>
          <w:rFonts w:cs="Verdana" w:ascii="Verdana" w:hAnsi="Verdana"/>
          <w:b/>
          <w:u w:val="single"/>
        </w:rPr>
        <w:t>CLÁUSULA SEGUNDA – MODELO DE EXECUÇÃO CONTRATUAL E DA ENTREGA:</w:t>
      </w:r>
    </w:p>
    <w:p>
      <w:pPr>
        <w:pStyle w:val="Normal"/>
        <w:spacing w:lineRule="auto" w:line="276"/>
        <w:jc w:val="both"/>
        <w:rPr/>
      </w:pPr>
      <w:r>
        <w:rPr>
          <w:rFonts w:cs="Verdana" w:ascii="Verdana" w:hAnsi="Verdana"/>
          <w:b/>
          <w:iCs/>
        </w:rPr>
        <w:t xml:space="preserve">2.1 </w:t>
      </w:r>
      <w:r>
        <w:rPr>
          <w:rFonts w:cs="Arial" w:ascii="Verdana" w:hAnsi="Verdana"/>
          <w:b/>
          <w:iCs/>
        </w:rPr>
        <w:t xml:space="preserve">Os Gêneros Alimentícios estão solicitados de acordo com o cronograma. Os gêneros </w:t>
      </w:r>
      <w:r>
        <w:rPr>
          <w:rFonts w:cs="Arial" w:ascii="Verdana" w:hAnsi="Verdana"/>
          <w:b/>
          <w:iCs/>
          <w:color w:val="000000"/>
        </w:rPr>
        <w:t>deverão ser primeiramente apresentados no SEMAE – Setor Municipal de Alimentação Escolar, situado na Rua Eli Cardoso, s/nº, Bairro Santa Cecília, nesta cidade.</w:t>
      </w:r>
    </w:p>
    <w:p>
      <w:pPr>
        <w:pStyle w:val="Normal"/>
        <w:spacing w:lineRule="auto" w:line="276"/>
        <w:jc w:val="both"/>
        <w:rPr/>
      </w:pPr>
      <w:r>
        <w:rPr>
          <w:rFonts w:cs="Arial" w:ascii="Verdana" w:hAnsi="Verdana"/>
          <w:b/>
          <w:bCs/>
          <w:color w:val="000000"/>
        </w:rPr>
        <w:t>2.2</w:t>
      </w:r>
      <w:r>
        <w:rPr>
          <w:rFonts w:cs="Arial" w:ascii="Verdana" w:hAnsi="Verdana"/>
          <w:color w:val="000000"/>
        </w:rPr>
        <w:t>. Os gêneros alimentícios perecíveis deverão vir acompanhados de</w:t>
      </w:r>
      <w:r>
        <w:rPr>
          <w:rFonts w:cs="Arial" w:ascii="Verdana" w:hAnsi="Verdana"/>
        </w:rPr>
        <w:t xml:space="preserve"> Nota Fiscal Eletrônica, e passarão por avaliação da qualidade e compatibilidade da mercadoria com a amostra apresentada, conforme Edital, após, serão liberados para serem entregues diretamente nas escolas, conforme cronograma de entrega e endereços.</w:t>
      </w:r>
    </w:p>
    <w:p>
      <w:pPr>
        <w:pStyle w:val="Normal"/>
        <w:spacing w:lineRule="auto" w:line="276"/>
        <w:jc w:val="both"/>
        <w:rPr/>
      </w:pPr>
      <w:r>
        <w:rPr>
          <w:rFonts w:cs="Arial" w:ascii="Verdana" w:hAnsi="Verdana"/>
          <w:b/>
          <w:bCs/>
        </w:rPr>
        <w:t>2.3</w:t>
      </w:r>
      <w:r>
        <w:rPr>
          <w:rFonts w:cs="Arial" w:ascii="Verdana" w:hAnsi="Verdana"/>
        </w:rPr>
        <w:t xml:space="preserve">. Os gêneros alimentícios não perecíveis deverão ser entregues diretamente no depósito do SEMAE, </w:t>
      </w:r>
      <w:r>
        <w:rPr>
          <w:rFonts w:cs="Arial" w:ascii="Verdana" w:hAnsi="Verdana"/>
          <w:color w:val="000000"/>
        </w:rPr>
        <w:t xml:space="preserve">Setor Municipal de Alimentação Escolar, </w:t>
      </w:r>
      <w:r>
        <w:rPr>
          <w:rFonts w:cs="Arial" w:ascii="Verdana" w:hAnsi="Verdana"/>
          <w:b w:val="false"/>
          <w:bCs w:val="false"/>
          <w:iCs/>
          <w:color w:val="000000"/>
        </w:rPr>
        <w:t>situado na Rua Eli Cardoso, s/nº, Bairro Santa Cecília</w:t>
      </w:r>
      <w:r>
        <w:rPr>
          <w:rFonts w:cs="Arial" w:ascii="Verdana" w:hAnsi="Verdana"/>
          <w:color w:val="000000"/>
        </w:rPr>
        <w:t>, nesta cidade, junto com a Nota Fiscal Eletrônica conforme cronograma de entrega.</w:t>
      </w:r>
    </w:p>
    <w:p>
      <w:pPr>
        <w:pStyle w:val="Normal"/>
        <w:spacing w:lineRule="auto" w:line="276"/>
        <w:jc w:val="both"/>
        <w:rPr/>
      </w:pPr>
      <w:r>
        <w:rPr>
          <w:rFonts w:cs="Arial" w:ascii="Verdana" w:hAnsi="Verdana"/>
          <w:b/>
          <w:bCs/>
        </w:rPr>
        <w:t>2.4</w:t>
      </w:r>
      <w:r>
        <w:rPr>
          <w:rFonts w:cs="Arial" w:ascii="Verdana" w:hAnsi="Verdana"/>
        </w:rPr>
        <w:t>. A entrega deverá ocorrer sem qualquer ônus adicional, bem como a descarga e todas as demais despesas provenientes da mesma.</w:t>
      </w:r>
    </w:p>
    <w:p>
      <w:pPr>
        <w:pStyle w:val="Normal"/>
        <w:spacing w:lineRule="auto" w:line="276"/>
        <w:jc w:val="both"/>
        <w:rPr/>
      </w:pPr>
      <w:r>
        <w:rPr>
          <w:rFonts w:cs="Arial" w:ascii="Verdana" w:hAnsi="Verdana"/>
          <w:b/>
          <w:bCs/>
        </w:rPr>
        <w:t xml:space="preserve">2.5. </w:t>
      </w:r>
      <w:r>
        <w:rPr>
          <w:rFonts w:cs="Arial" w:ascii="Verdana" w:hAnsi="Verdana"/>
        </w:rPr>
        <w:t>A Empresa vencedora garantirá a qualidade dos materiais obrigando-se a repor aquele que apresentar defeito ou for entregue em desacordo com o apresentado na proposta.</w:t>
      </w:r>
    </w:p>
    <w:p>
      <w:pPr>
        <w:pStyle w:val="Normal"/>
        <w:spacing w:lineRule="auto" w:line="276"/>
        <w:jc w:val="both"/>
        <w:rPr/>
      </w:pPr>
      <w:r>
        <w:rPr>
          <w:rFonts w:cs="Arial" w:ascii="Verdana" w:hAnsi="Verdana"/>
          <w:b/>
          <w:bCs/>
        </w:rPr>
        <w:t>2.6</w:t>
      </w:r>
      <w:r>
        <w:rPr>
          <w:rFonts w:cs="Arial" w:ascii="Verdana" w:hAnsi="Verdana"/>
        </w:rPr>
        <w:t>.</w:t>
      </w:r>
      <w:r>
        <w:rPr>
          <w:rFonts w:cs="Arial" w:ascii="Verdana" w:hAnsi="Verdana"/>
          <w:b/>
        </w:rPr>
        <w:t xml:space="preserve"> </w:t>
      </w:r>
      <w:r>
        <w:rPr>
          <w:rFonts w:cs="Arial" w:ascii="Verdana" w:hAnsi="Verdana"/>
        </w:rPr>
        <w:t>Os itens deverão ser entregues dentro do horário de expediente do setor de alimentação escolar e das escolas sendo de 7h as 17h, observando feriados e pontos facultativos.</w:t>
      </w:r>
    </w:p>
    <w:p>
      <w:pPr>
        <w:pStyle w:val="Normal"/>
        <w:spacing w:lineRule="auto" w:line="276"/>
        <w:jc w:val="both"/>
        <w:rPr/>
      </w:pPr>
      <w:r>
        <w:rPr>
          <w:rFonts w:cs="Arial" w:ascii="Verdana" w:hAnsi="Verdana"/>
          <w:b/>
          <w:bCs/>
        </w:rPr>
        <w:t>2.7</w:t>
      </w:r>
      <w:r>
        <w:rPr>
          <w:rFonts w:cs="Arial" w:ascii="Verdana" w:hAnsi="Verdana"/>
        </w:rPr>
        <w:t>.</w:t>
      </w:r>
      <w:r>
        <w:rPr>
          <w:rFonts w:cs="Arial" w:ascii="Verdana" w:hAnsi="Verdana"/>
          <w:b/>
        </w:rPr>
        <w:t xml:space="preserve"> </w:t>
      </w:r>
      <w:r>
        <w:rPr>
          <w:rFonts w:cs="Arial" w:ascii="Verdana" w:hAnsi="Verdana"/>
        </w:rPr>
        <w:t xml:space="preserve">A Empresa vencedora garantirá a qualidade dos itens obrigando-se a repor aquele que apresentar defeito ou for entregue em desacordo com o apresentado na proposta; </w:t>
      </w:r>
    </w:p>
    <w:p>
      <w:pPr>
        <w:pStyle w:val="Normal"/>
        <w:spacing w:lineRule="auto" w:line="276"/>
        <w:jc w:val="both"/>
        <w:rPr/>
      </w:pPr>
      <w:r>
        <w:rPr>
          <w:rFonts w:cs="Arial" w:ascii="Verdana" w:hAnsi="Verdana"/>
          <w:b/>
          <w:bCs/>
        </w:rPr>
        <w:t>2.8</w:t>
      </w:r>
      <w:r>
        <w:rPr>
          <w:rFonts w:cs="Arial" w:ascii="Verdana" w:hAnsi="Verdana"/>
        </w:rPr>
        <w:t>. O material deverá ser entregue nas mesmas marcas indicadas nas propostas de preços vencedoras do certame e especificações constantes nas solicitações de compras.</w:t>
      </w:r>
    </w:p>
    <w:p>
      <w:pPr>
        <w:pStyle w:val="Normal"/>
        <w:spacing w:lineRule="auto" w:line="276"/>
        <w:jc w:val="both"/>
        <w:rPr/>
      </w:pPr>
      <w:r>
        <w:rPr>
          <w:rFonts w:cs="Arial" w:ascii="Verdana" w:hAnsi="Verdana"/>
          <w:b/>
          <w:bCs/>
        </w:rPr>
        <w:t>2.9</w:t>
      </w:r>
      <w:r>
        <w:rPr>
          <w:rFonts w:cs="Arial" w:ascii="Verdana" w:hAnsi="Verdana"/>
        </w:rPr>
        <w:t>. O recebimento provisório do material entregue dar-se-á pela conferência com a descrição constante da ordem de fornecimento ou serviço;</w:t>
      </w:r>
    </w:p>
    <w:p>
      <w:pPr>
        <w:pStyle w:val="Normal"/>
        <w:spacing w:lineRule="auto" w:line="276"/>
        <w:jc w:val="both"/>
        <w:rPr/>
      </w:pPr>
      <w:r>
        <w:rPr>
          <w:rFonts w:cs="Arial" w:ascii="Verdana" w:hAnsi="Verdana"/>
          <w:b/>
          <w:bCs/>
        </w:rPr>
        <w:t>2.10</w:t>
      </w:r>
      <w:r>
        <w:rPr>
          <w:rFonts w:cs="Arial" w:ascii="Verdana" w:hAnsi="Verdana"/>
        </w:rPr>
        <w:t>.</w:t>
      </w:r>
      <w:r>
        <w:rPr>
          <w:rFonts w:cs="Arial" w:ascii="Verdana" w:hAnsi="Verdana"/>
          <w:b/>
        </w:rPr>
        <w:t xml:space="preserve"> </w:t>
      </w:r>
      <w:r>
        <w:rPr>
          <w:rFonts w:cs="Arial" w:ascii="Verdana" w:hAnsi="Verdana"/>
        </w:rPr>
        <w:t>O recebimento definitivo ocorrerá com a verificação integral de todos os itens e características do produto fornecido pela CONTRATADA;</w:t>
      </w:r>
    </w:p>
    <w:p>
      <w:pPr>
        <w:pStyle w:val="Normal"/>
        <w:spacing w:lineRule="auto" w:line="276"/>
        <w:jc w:val="both"/>
        <w:rPr/>
      </w:pPr>
      <w:r>
        <w:rPr>
          <w:rFonts w:cs="Arial" w:ascii="Verdana" w:hAnsi="Verdana"/>
          <w:b/>
          <w:bCs/>
        </w:rPr>
        <w:t>2.11</w:t>
      </w:r>
      <w:r>
        <w:rPr>
          <w:rFonts w:cs="Arial" w:ascii="Verdana" w:hAnsi="Verdana"/>
        </w:rPr>
        <w:t>. O recebimento definitivo não isenta a CONTRATADA de responsabilidades futuras quanto à qualidade dos fornecimentos e serviços prestados.</w:t>
      </w:r>
    </w:p>
    <w:p>
      <w:pPr>
        <w:pStyle w:val="Normal"/>
        <w:spacing w:lineRule="auto" w:line="276"/>
        <w:jc w:val="both"/>
        <w:rPr/>
      </w:pPr>
      <w:r>
        <w:rPr>
          <w:rFonts w:cs="Arial" w:ascii="Verdana" w:hAnsi="Verdana"/>
          <w:b/>
          <w:bCs/>
        </w:rPr>
        <w:t>2.12</w:t>
      </w:r>
      <w:r>
        <w:rPr>
          <w:rFonts w:cs="Arial" w:ascii="Verdana" w:hAnsi="Verdana"/>
          <w:b/>
        </w:rPr>
        <w:t xml:space="preserve">. </w:t>
      </w:r>
      <w:r>
        <w:rPr>
          <w:rFonts w:cs="Arial" w:ascii="Verdana" w:hAnsi="Verdana"/>
        </w:rPr>
        <w:t>O recebimento provisório dos produtos não implica aceitação dos mesmos;</w:t>
      </w:r>
    </w:p>
    <w:p>
      <w:pPr>
        <w:pStyle w:val="Normal"/>
        <w:spacing w:lineRule="auto" w:line="276"/>
        <w:jc w:val="both"/>
        <w:rPr/>
      </w:pPr>
      <w:r>
        <w:rPr>
          <w:rFonts w:cs="Arial" w:ascii="Verdana" w:hAnsi="Verdana"/>
          <w:b/>
          <w:bCs/>
        </w:rPr>
        <w:t>2.13</w:t>
      </w:r>
      <w:r>
        <w:rPr>
          <w:rFonts w:cs="Arial" w:ascii="Verdana" w:hAnsi="Verdana"/>
        </w:rPr>
        <w:t>.</w:t>
      </w:r>
      <w:r>
        <w:rPr>
          <w:rFonts w:cs="Arial" w:ascii="Verdana" w:hAnsi="Verdana"/>
          <w:b/>
          <w:bCs/>
        </w:rPr>
        <w:t xml:space="preserve"> </w:t>
      </w:r>
      <w:r>
        <w:rPr>
          <w:rFonts w:cs="Arial" w:ascii="Verdana" w:hAnsi="Verdana"/>
        </w:rPr>
        <w:t>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spacing w:lineRule="auto" w:line="276"/>
        <w:jc w:val="both"/>
        <w:rPr/>
      </w:pPr>
      <w:r>
        <w:rPr>
          <w:rFonts w:cs="Arial" w:ascii="Verdana" w:hAnsi="Verdana"/>
          <w:b/>
          <w:bCs/>
        </w:rPr>
        <w:t>2.14</w:t>
      </w:r>
      <w:r>
        <w:rPr>
          <w:rFonts w:cs="Arial" w:ascii="Verdana" w:hAnsi="Verdana"/>
        </w:rPr>
        <w:t>. Havendo erro na Nota Fiscal ou outra circunstância impeditiva, o recebimento definitivo será suspenso, até que a empresa tome as medidas saneadoras necessárias;</w:t>
      </w:r>
    </w:p>
    <w:p>
      <w:pPr>
        <w:pStyle w:val="Normal"/>
        <w:spacing w:lineRule="auto" w:line="276"/>
        <w:jc w:val="both"/>
        <w:rPr>
          <w:rFonts w:ascii="Verdana" w:hAnsi="Verdana"/>
          <w:b/>
          <w:bCs/>
        </w:rPr>
      </w:pPr>
      <w:r>
        <w:rPr>
          <w:rFonts w:ascii="Verdana" w:hAnsi="Verdana"/>
          <w:b/>
          <w:bCs/>
        </w:rPr>
        <w:t>2.15 Contato</w:t>
      </w:r>
    </w:p>
    <w:p>
      <w:pPr>
        <w:pStyle w:val="Normal"/>
        <w:spacing w:lineRule="auto" w:line="276"/>
        <w:jc w:val="both"/>
        <w:rPr>
          <w:rFonts w:ascii="Verdana" w:hAnsi="Verdana"/>
        </w:rPr>
      </w:pPr>
      <w:r>
        <w:rPr>
          <w:rFonts w:cs="Arial" w:ascii="Verdana" w:hAnsi="Verdana"/>
        </w:rPr>
        <w:t>Responsável: Secretaria Municipal de Educação</w:t>
      </w:r>
    </w:p>
    <w:p>
      <w:pPr>
        <w:pStyle w:val="Normal"/>
        <w:spacing w:lineRule="auto" w:line="276"/>
        <w:jc w:val="both"/>
        <w:rPr>
          <w:rFonts w:ascii="Verdana" w:hAnsi="Verdana"/>
        </w:rPr>
      </w:pPr>
      <w:r>
        <w:rPr>
          <w:rFonts w:cs="Arial" w:ascii="Verdana" w:hAnsi="Verdana"/>
        </w:rPr>
        <w:t>Telefone: (27) 99977-8342 / 99574-4758</w:t>
      </w:r>
    </w:p>
    <w:p>
      <w:pPr>
        <w:pStyle w:val="Normal"/>
        <w:spacing w:lineRule="auto" w:line="276"/>
        <w:jc w:val="both"/>
        <w:rPr/>
      </w:pPr>
      <w:r>
        <w:rPr>
          <w:rFonts w:cs="Arial" w:ascii="Verdana" w:hAnsi="Verdana"/>
          <w:iCs/>
        </w:rPr>
        <w:t xml:space="preserve">Email.: </w:t>
      </w:r>
      <w:hyperlink r:id="rId2">
        <w:r>
          <w:rPr>
            <w:rStyle w:val="Hyperlink"/>
            <w:rFonts w:cs="Arial" w:ascii="Verdana" w:hAnsi="Verdana"/>
            <w:iCs/>
          </w:rPr>
          <w:t>financeirosemecsgp@gmail.com</w:t>
        </w:r>
      </w:hyperlink>
      <w:r>
        <w:rPr>
          <w:rStyle w:val="InternetLink1"/>
          <w:rFonts w:cs="Arial" w:ascii="Verdana" w:hAnsi="Verdana"/>
          <w:iCs/>
        </w:rPr>
        <w:t xml:space="preserve"> </w:t>
      </w:r>
    </w:p>
    <w:p>
      <w:pPr>
        <w:pStyle w:val="Normal"/>
        <w:spacing w:lineRule="auto" w:line="276"/>
        <w:jc w:val="both"/>
        <w:rPr>
          <w:rFonts w:cs="Arial"/>
          <w:iCs/>
        </w:rPr>
      </w:pPr>
      <w:r>
        <w:rPr>
          <w:rFonts w:cs="Arial"/>
          <w:iCs/>
        </w:rPr>
      </w:r>
    </w:p>
    <w:p>
      <w:pPr>
        <w:pStyle w:val="Normal"/>
        <w:spacing w:lineRule="auto" w:line="276"/>
        <w:jc w:val="both"/>
        <w:rPr>
          <w:rFonts w:ascii="Verdana" w:hAnsi="Verdana" w:cs="Verdana"/>
          <w:b/>
          <w:u w:val="single"/>
        </w:rPr>
      </w:pPr>
      <w:r>
        <w:rPr>
          <w:rFonts w:cs="Verdana" w:ascii="Verdana" w:hAnsi="Verdana"/>
          <w:b/>
          <w:u w:val="single"/>
        </w:rPr>
        <w:t>CLÁUSULA TERCEIRA – PAGAMENTO</w:t>
      </w:r>
    </w:p>
    <w:p>
      <w:pPr>
        <w:pStyle w:val="ListParagraph"/>
        <w:tabs>
          <w:tab w:val="clear" w:pos="708"/>
          <w:tab w:val="left" w:pos="434" w:leader="none"/>
        </w:tabs>
        <w:overflowPunct w:val="true"/>
        <w:spacing w:before="0" w:after="0"/>
        <w:ind w:hanging="0" w:left="0"/>
        <w:contextualSpacing/>
        <w:jc w:val="both"/>
        <w:textAlignment w:val="auto"/>
        <w:rPr/>
      </w:pPr>
      <w:r>
        <w:rPr>
          <w:rFonts w:cs="Verdana" w:ascii="Verdana" w:hAnsi="Verdana"/>
          <w:b/>
          <w:sz w:val="20"/>
          <w:szCs w:val="20"/>
        </w:rPr>
        <w:t>3.1 –</w:t>
      </w:r>
      <w:r>
        <w:rPr>
          <w:rFonts w:eastAsia="Verdana" w:cs="Verdana" w:ascii="Verdana" w:hAnsi="Verdana"/>
          <w:sz w:val="20"/>
          <w:szCs w:val="20"/>
        </w:rPr>
        <w:t xml:space="preserve"> </w:t>
      </w:r>
      <w:r>
        <w:rPr>
          <w:rFonts w:eastAsia="Verdana" w:cs="Verdana" w:ascii="Verdana" w:hAnsi="Verdana"/>
          <w:sz w:val="20"/>
          <w:szCs w:val="20"/>
          <w:lang w:eastAsia="en-US"/>
        </w:rPr>
        <w:t xml:space="preserve">Recebida a Nota Fiscal ou documento de cobrança equivalente, correrá o prazo de </w:t>
      </w:r>
      <w:r>
        <w:rPr>
          <w:rFonts w:eastAsia="Times New Roman" w:cs="Times New Roman" w:ascii="Verdana" w:hAnsi="Verdana"/>
          <w:sz w:val="20"/>
          <w:szCs w:val="20"/>
          <w:lang w:eastAsia="en-US"/>
        </w:rPr>
        <w:t>(30) trinta</w:t>
      </w:r>
      <w:r>
        <w:rPr>
          <w:rFonts w:eastAsia="Verdana" w:cs="Verdana" w:ascii="Verdana" w:hAnsi="Verdana"/>
          <w:sz w:val="20"/>
          <w:szCs w:val="20"/>
          <w:lang w:eastAsia="en-US"/>
        </w:rPr>
        <w:t xml:space="preserve"> dias para fins de liquidação, na forma desta seção, prorrogáveis por igual período.</w:t>
      </w:r>
    </w:p>
    <w:p>
      <w:pPr>
        <w:pStyle w:val="Normal"/>
        <w:spacing w:lineRule="auto" w:line="276"/>
        <w:jc w:val="both"/>
        <w:rPr/>
      </w:pPr>
      <w:r>
        <w:rPr>
          <w:rFonts w:ascii="Verdana" w:hAnsi="Verdana"/>
          <w:b/>
          <w:bCs/>
        </w:rPr>
        <w:t>3.2</w:t>
      </w:r>
      <w:r>
        <w:rPr>
          <w:rFonts w:ascii="Verdana" w:hAnsi="Verdana"/>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65"/>
          <w:rFonts w:ascii="Verdana" w:hAnsi="Verdana"/>
          <w:color w:val="000000"/>
        </w:rPr>
        <w:instrText xml:space="preserve"> HYPERLINK "http://www.planalto.gov.br/ccivil_03/_ato2019-2022/2021/lei/L14133.htm" \l "art75"</w:instrText>
      </w:r>
      <w:r>
        <w:rPr>
          <w:rStyle w:val="ListLabel65"/>
          <w:rFonts w:ascii="Verdana" w:hAnsi="Verdana"/>
          <w:color w:val="000000"/>
        </w:rPr>
        <w:fldChar w:fldCharType="separate"/>
      </w:r>
      <w:r>
        <w:rPr>
          <w:rStyle w:val="ListLabel65"/>
          <w:rFonts w:ascii="Verdana" w:hAnsi="Verdana"/>
          <w:color w:val="000000"/>
        </w:rPr>
        <w:t>inciso II do art. 75 da Lei nº 14.133, de 2021</w:t>
      </w:r>
      <w:r>
        <w:rPr>
          <w:rStyle w:val="ListLabel65"/>
          <w:rFonts w:ascii="Verdana" w:hAnsi="Verdana"/>
          <w:color w:val="000000"/>
        </w:rPr>
        <w:fldChar w:fldCharType="end"/>
      </w:r>
      <w:r>
        <w:rPr>
          <w:rFonts w:ascii="Verdana" w:hAnsi="Verdana"/>
          <w:color w:val="000000"/>
        </w:rPr>
        <w:t>.</w:t>
      </w:r>
    </w:p>
    <w:p>
      <w:pPr>
        <w:pStyle w:val="Normal"/>
        <w:spacing w:lineRule="auto" w:line="276"/>
        <w:jc w:val="both"/>
        <w:rPr/>
      </w:pPr>
      <w:r>
        <w:rPr>
          <w:rFonts w:ascii="Verdana" w:hAnsi="Verdana"/>
          <w:b/>
          <w:bCs/>
        </w:rPr>
        <w:t>3.3</w:t>
      </w:r>
      <w:r>
        <w:rPr>
          <w:rFonts w:ascii="Verdana" w:hAnsi="Verdana"/>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O prazo de validade;</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A data da emissão;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Os dados do contrato e do órgão contratante;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O período respectivo de execução do contrato;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O valor a pagar; e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Eventual destaque do valor de retenções tributárias cabíveis.</w:t>
      </w:r>
    </w:p>
    <w:p>
      <w:pPr>
        <w:pStyle w:val="Normal"/>
        <w:tabs>
          <w:tab w:val="clear" w:pos="708"/>
          <w:tab w:val="left" w:pos="0" w:leader="none"/>
          <w:tab w:val="left" w:pos="563" w:leader="none"/>
        </w:tabs>
        <w:spacing w:lineRule="auto" w:line="276"/>
        <w:jc w:val="both"/>
        <w:rPr/>
      </w:pPr>
      <w:r>
        <w:rPr>
          <w:rFonts w:ascii="Verdana" w:hAnsi="Verdana"/>
          <w:b/>
          <w:bCs/>
        </w:rPr>
        <w:t>3.4</w:t>
      </w:r>
      <w:r>
        <w:rPr>
          <w:rFonts w:ascii="Verdana" w:hAnsi="Verdana"/>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jc w:val="both"/>
        <w:rPr/>
      </w:pPr>
      <w:r>
        <w:rPr>
          <w:rFonts w:ascii="Verdana" w:hAnsi="Verdana"/>
          <w:b/>
          <w:bCs/>
        </w:rPr>
        <w:t>3.5</w:t>
      </w:r>
      <w:r>
        <w:rPr>
          <w:rFonts w:ascii="Verdana" w:hAnsi="Verdana"/>
        </w:rPr>
        <w:t>. A</w:t>
      </w:r>
      <w:r>
        <w:rPr>
          <w:rFonts w:ascii="Verdana" w:hAnsi="Verdana"/>
          <w:lang w:eastAsia="en-US"/>
        </w:rPr>
        <w:t xml:space="preserve"> nota fiscal ou instrumento de cobrança equivalente deverá ser obrigatoriamente acompanhado da comprovação da regularidade fiscal</w:t>
      </w:r>
      <w:r>
        <w:rPr>
          <w:rStyle w:val="InternetLink"/>
          <w:rFonts w:ascii="Verdana" w:hAnsi="Verdana"/>
          <w:u w:val="none"/>
          <w:lang w:eastAsia="en-US"/>
        </w:rPr>
        <w:t>.</w:t>
      </w:r>
    </w:p>
    <w:p>
      <w:pPr>
        <w:pStyle w:val="Normal"/>
        <w:spacing w:lineRule="auto" w:line="276"/>
        <w:jc w:val="both"/>
        <w:rPr>
          <w:rFonts w:ascii="Verdana" w:hAnsi="Verdana"/>
        </w:rPr>
      </w:pPr>
      <w:r>
        <w:rPr>
          <w:rFonts w:ascii="Verdana" w:hAnsi="Verdana"/>
        </w:rPr>
        <w:t>3.6. O pagamento será efetuado no prazo de até 30 (trinta) dias úteis contados da finalização da liquidação da despesa.</w:t>
      </w:r>
    </w:p>
    <w:p>
      <w:pPr>
        <w:pStyle w:val="Normal"/>
        <w:spacing w:lineRule="auto" w:line="276"/>
        <w:jc w:val="both"/>
        <w:rPr/>
      </w:pPr>
      <w:r>
        <w:rPr>
          <w:rFonts w:ascii="Verdana" w:hAnsi="Verdana"/>
          <w:b/>
          <w:bCs/>
        </w:rPr>
        <w:t>3.7</w:t>
      </w:r>
      <w:r>
        <w:rPr>
          <w:rFonts w:ascii="Verdana" w:hAnsi="Verdana"/>
        </w:rPr>
        <w:t>. O pagamento será realizado por meio de ordem bancária, para crédito em banco, agência e conta corrente indicados pelo contratado.</w:t>
      </w:r>
    </w:p>
    <w:p>
      <w:pPr>
        <w:pStyle w:val="Normal"/>
        <w:spacing w:lineRule="auto" w:line="276"/>
        <w:jc w:val="both"/>
        <w:rPr/>
      </w:pPr>
      <w:r>
        <w:rPr>
          <w:rFonts w:ascii="Verdana" w:hAnsi="Verdana"/>
          <w:b/>
          <w:bCs/>
        </w:rPr>
        <w:t>3.8</w:t>
      </w:r>
      <w:r>
        <w:rPr>
          <w:rFonts w:ascii="Verdana" w:hAnsi="Verdana"/>
        </w:rPr>
        <w:t>. Será considerada data do pagamento o dia em que constar como emitida a ordem bancária para pagamento.</w:t>
      </w:r>
    </w:p>
    <w:p>
      <w:pPr>
        <w:pStyle w:val="Normal"/>
        <w:spacing w:lineRule="auto" w:line="276"/>
        <w:jc w:val="both"/>
        <w:rPr/>
      </w:pPr>
      <w:r>
        <w:rPr>
          <w:rFonts w:ascii="Verdana" w:hAnsi="Verdana"/>
          <w:b/>
          <w:bCs/>
        </w:rPr>
        <w:t>3.9</w:t>
      </w:r>
      <w:r>
        <w:rPr>
          <w:rFonts w:ascii="Verdana" w:hAnsi="Verdana"/>
        </w:rPr>
        <w:t>. Quando do pagamento, será efetuada a retenção tributária prevista na legislação aplicável.</w:t>
      </w:r>
    </w:p>
    <w:p>
      <w:pPr>
        <w:pStyle w:val="Normal"/>
        <w:spacing w:lineRule="auto" w:line="276"/>
        <w:jc w:val="both"/>
        <w:rPr/>
      </w:pPr>
      <w:r>
        <w:rPr>
          <w:rFonts w:ascii="Verdana" w:hAnsi="Verdana"/>
          <w:b/>
          <w:bCs/>
          <w:lang w:eastAsia="en-US"/>
        </w:rPr>
        <w:t>3.10</w:t>
      </w:r>
      <w:r>
        <w:rPr>
          <w:rFonts w:ascii="Verdana" w:hAnsi="Verdana"/>
          <w:lang w:eastAsia="en-US"/>
        </w:rPr>
        <w:t xml:space="preserve">. O contratado regularmente optante pelo Simples Nacional, nos termos da </w:t>
      </w:r>
      <w:hyperlink r:id="rId3">
        <w:r>
          <w:rPr>
            <w:rStyle w:val="ListLabel66"/>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jc w:val="both"/>
        <w:rPr/>
      </w:pPr>
      <w:r>
        <w:rPr>
          <w:rFonts w:ascii="Verdana" w:hAnsi="Verdana"/>
          <w:b/>
          <w:bCs/>
          <w:lang w:eastAsia="en-US"/>
        </w:rPr>
        <w:t>3.11</w:t>
      </w:r>
      <w:r>
        <w:rPr>
          <w:rFonts w:ascii="Verdana" w:hAnsi="Verdana"/>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before="0" w:after="0"/>
        <w:ind w:hanging="0" w:left="0"/>
        <w:contextualSpacing w:val="false"/>
        <w:jc w:val="both"/>
        <w:rPr/>
      </w:pPr>
      <w:r>
        <w:rPr>
          <w:rFonts w:ascii="Verdana" w:hAnsi="Verdana"/>
          <w:b/>
          <w:bCs/>
          <w:color w:val="000000"/>
          <w:sz w:val="20"/>
          <w:szCs w:val="20"/>
        </w:rPr>
        <w:t>13.12</w:t>
      </w:r>
      <w:r>
        <w:rPr>
          <w:rFonts w:ascii="Verdana" w:hAnsi="Verdana"/>
          <w:color w:val="000000"/>
          <w:sz w:val="20"/>
          <w:szCs w:val="20"/>
        </w:rPr>
        <w:t xml:space="preserve">. </w:t>
      </w:r>
      <w:r>
        <w:rPr>
          <w:rFonts w:ascii="Verdana" w:hAnsi="Verdana"/>
          <w:sz w:val="20"/>
          <w:szCs w:val="20"/>
        </w:rPr>
        <w:t>Após o prazo acima referenciado, será paga multa financeira nos seguintes termos:</w:t>
      </w:r>
    </w:p>
    <w:p>
      <w:pPr>
        <w:pStyle w:val="ListParagraph"/>
        <w:tabs>
          <w:tab w:val="clear" w:pos="708"/>
          <w:tab w:val="left" w:pos="518" w:leader="none"/>
        </w:tabs>
        <w:spacing w:before="0" w:after="0"/>
        <w:ind w:hanging="0" w:left="0"/>
        <w:contextualSpacing w:val="false"/>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before="0" w:after="0"/>
        <w:ind w:hanging="0" w:left="0"/>
        <w:contextualSpacing w:val="false"/>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rPr>
          <w:rFonts w:ascii="Verdana" w:hAnsi="Verdana" w:cs="Arial"/>
          <w:color w:val="000000"/>
        </w:rPr>
      </w:pPr>
      <w:r>
        <w:rPr>
          <w:rFonts w:cs="Arial" w:ascii="Verdana" w:hAnsi="Verdana"/>
          <w:color w:val="000000"/>
        </w:rPr>
        <w:t xml:space="preserve">Onde: </w:t>
      </w:r>
    </w:p>
    <w:p>
      <w:pPr>
        <w:pStyle w:val="Normal"/>
        <w:suppressAutoHyphens w:val="false"/>
        <w:spacing w:lineRule="auto" w:line="276"/>
        <w:rPr>
          <w:rFonts w:ascii="Verdana" w:hAnsi="Verdana" w:cs="Arial"/>
          <w:color w:val="000000"/>
        </w:rPr>
      </w:pPr>
      <w:r>
        <w:rPr>
          <w:rFonts w:cs="Arial" w:ascii="Verdana" w:hAnsi="Verdana"/>
          <w:color w:val="000000"/>
        </w:rPr>
        <w:t xml:space="preserve">VM = Valor da Multa Financeira; </w:t>
      </w:r>
    </w:p>
    <w:p>
      <w:pPr>
        <w:pStyle w:val="Normal"/>
        <w:suppressAutoHyphens w:val="false"/>
        <w:spacing w:lineRule="auto" w:line="276"/>
        <w:rPr>
          <w:rFonts w:ascii="Verdana" w:hAnsi="Verdana" w:cs="Arial"/>
          <w:color w:val="000000"/>
        </w:rPr>
      </w:pPr>
      <w:r>
        <w:rPr>
          <w:rFonts w:cs="Arial" w:ascii="Verdana" w:hAnsi="Verdana"/>
          <w:color w:val="000000"/>
        </w:rPr>
        <w:t xml:space="preserve">VF = Valor da Nota Fiscal; </w:t>
      </w:r>
    </w:p>
    <w:p>
      <w:pPr>
        <w:pStyle w:val="ListParagraph"/>
        <w:tabs>
          <w:tab w:val="clear" w:pos="708"/>
          <w:tab w:val="left" w:pos="518" w:leader="none"/>
        </w:tabs>
        <w:spacing w:before="0" w:after="0"/>
        <w:ind w:hanging="0" w:left="0"/>
        <w:contextualSpacing w:val="false"/>
        <w:rPr>
          <w:rFonts w:ascii="Verdana" w:hAnsi="Verdana" w:eastAsia="Times New Roman" w:cs="Arial"/>
          <w:color w:val="000000"/>
          <w:sz w:val="20"/>
          <w:szCs w:val="20"/>
        </w:rPr>
      </w:pPr>
      <w:r>
        <w:rPr>
          <w:rFonts w:eastAsia="Times New Roman" w:cs="Arial" w:ascii="Verdana" w:hAnsi="Verdana"/>
          <w:color w:val="000000"/>
          <w:sz w:val="20"/>
          <w:szCs w:val="20"/>
        </w:rPr>
        <w:t>ND = Número de dias em atraso.</w:t>
      </w:r>
    </w:p>
    <w:p>
      <w:pPr>
        <w:pStyle w:val="ListParagraph"/>
        <w:tabs>
          <w:tab w:val="clear" w:pos="708"/>
          <w:tab w:val="left" w:pos="518" w:leader="none"/>
        </w:tabs>
        <w:spacing w:before="0" w:after="0"/>
        <w:ind w:hanging="0" w:left="0"/>
        <w:contextualSpacing w:val="false"/>
        <w:jc w:val="both"/>
        <w:rPr/>
      </w:pPr>
      <w:r>
        <w:rPr>
          <w:rFonts w:eastAsia="Times New Roman" w:cs="Arial" w:ascii="Verdana" w:hAnsi="Verdana"/>
          <w:b/>
          <w:bCs/>
          <w:color w:val="000000"/>
          <w:sz w:val="20"/>
          <w:szCs w:val="20"/>
        </w:rPr>
        <w:t>3.13</w:t>
      </w:r>
      <w:r>
        <w:rPr>
          <w:rFonts w:eastAsia="Times New Roman" w:cs="Arial" w:ascii="Verdana" w:hAnsi="Verdana"/>
          <w:color w:val="000000"/>
          <w:sz w:val="20"/>
          <w:szCs w:val="20"/>
        </w:rPr>
        <w:t xml:space="preserve">. </w:t>
      </w:r>
      <w:r>
        <w:rPr>
          <w:rFonts w:cs="Arial" w:ascii="Verdana" w:hAnsi="Verdana"/>
          <w:color w:val="000000"/>
          <w:sz w:val="20"/>
          <w:szCs w:val="20"/>
        </w:rPr>
        <w:t>A NOTA FISCAL ELETRÔNICA deverá conter o mesmo CNPJ e razão social, apresentados quando na proposta, assim como, o número da contratação, o (s) objeto (s), os valores unitários e totais.</w:t>
      </w:r>
    </w:p>
    <w:p>
      <w:pPr>
        <w:pStyle w:val="ListParagraph"/>
        <w:tabs>
          <w:tab w:val="clear" w:pos="708"/>
          <w:tab w:val="left" w:pos="518" w:leader="none"/>
        </w:tabs>
        <w:spacing w:before="0" w:after="0"/>
        <w:ind w:hanging="0" w:left="0"/>
        <w:contextualSpacing w:val="false"/>
        <w:jc w:val="both"/>
        <w:rPr/>
      </w:pPr>
      <w:r>
        <w:rPr>
          <w:rFonts w:eastAsia="Times New Roman" w:cs="Arial" w:ascii="Verdana" w:hAnsi="Verdana"/>
          <w:b/>
          <w:bCs/>
          <w:color w:val="000000"/>
          <w:sz w:val="20"/>
          <w:szCs w:val="20"/>
        </w:rPr>
        <w:t>3.14</w:t>
      </w:r>
      <w:r>
        <w:rPr>
          <w:rFonts w:eastAsia="Times New Roman" w:cs="Arial" w:ascii="Verdana" w:hAnsi="Verdana"/>
          <w:color w:val="000000"/>
          <w:sz w:val="20"/>
          <w:szCs w:val="20"/>
        </w:rPr>
        <w:t>.</w:t>
      </w:r>
      <w:r>
        <w:rPr>
          <w:rFonts w:cs="Arial" w:ascii="Verdana" w:hAnsi="Verdana"/>
          <w:color w:val="000000"/>
          <w:sz w:val="20"/>
          <w:szCs w:val="20"/>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jc w:val="both"/>
        <w:rPr/>
      </w:pPr>
      <w:r>
        <w:rPr>
          <w:rFonts w:cs="Arial" w:ascii="Verdana" w:hAnsi="Verdana"/>
          <w:b/>
          <w:bCs/>
          <w:color w:val="000000"/>
        </w:rPr>
        <w:t>3.15</w:t>
      </w:r>
      <w:r>
        <w:rPr>
          <w:rFonts w:cs="Arial" w:ascii="Verdana" w:hAnsi="Verdana"/>
          <w:color w:val="000000"/>
        </w:rPr>
        <w:t>. 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true"/>
        <w:spacing w:before="0" w:after="0"/>
        <w:ind w:hanging="0" w:left="0"/>
        <w:contextualSpacing/>
        <w:jc w:val="both"/>
        <w:textAlignment w:val="auto"/>
        <w:rPr/>
      </w:pPr>
      <w:r>
        <w:rPr>
          <w:rFonts w:eastAsia="Verdana" w:cs="Arial" w:ascii="Verdana" w:hAnsi="Verdana"/>
          <w:b/>
          <w:bCs/>
          <w:sz w:val="20"/>
          <w:szCs w:val="20"/>
          <w:lang w:eastAsia="pt-BR"/>
        </w:rPr>
        <w:t>3.16</w:t>
      </w:r>
      <w:r>
        <w:rPr>
          <w:rFonts w:eastAsia="Verdana" w:cs="Arial" w:ascii="Verdana" w:hAnsi="Verdana"/>
          <w:sz w:val="20"/>
          <w:szCs w:val="20"/>
          <w:lang w:eastAsia="pt-BR"/>
        </w:rPr>
        <w:t xml:space="preserve">. </w:t>
      </w:r>
      <w:r>
        <w:rPr>
          <w:rFonts w:eastAsia="Verdana" w:cs="Arial" w:ascii="Verdana" w:hAnsi="Verdana"/>
          <w:sz w:val="20"/>
          <w:szCs w:val="20"/>
          <w:lang w:eastAsia="en-US"/>
        </w:rPr>
        <w:t xml:space="preserve">Para a efetivação do pagamento, a CONTRATADA deverá manter as mesmas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before="0" w:after="0"/>
        <w:rPr/>
      </w:pPr>
      <w:r>
        <w:rPr>
          <w:rFonts w:cs="Verdana" w:ascii="Verdana" w:hAnsi="Verdana"/>
          <w:b/>
          <w:bCs/>
        </w:rPr>
        <w:t xml:space="preserve">4.1 </w:t>
      </w:r>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rPr/>
      </w:pPr>
      <w:r>
        <w:rPr>
          <w:rFonts w:cs="Verdana" w:ascii="Verdana" w:hAnsi="Verdana"/>
          <w:b/>
          <w:bCs/>
        </w:rPr>
        <w:t xml:space="preserve">4.2 </w:t>
      </w:r>
      <w:r>
        <w:rPr>
          <w:rFonts w:cs="Verdana" w:ascii="Verdana" w:hAnsi="Verdana"/>
        </w:rPr>
        <w:t xml:space="preserve">Após o interregno de um ano, e </w:t>
      </w:r>
      <w:bookmarkStart w:id="0" w:name="_Hlk132722410"/>
      <w:r>
        <w:rPr>
          <w:rFonts w:cs="Verdana" w:ascii="Verdana" w:hAnsi="Verdana"/>
        </w:rPr>
        <w:t xml:space="preserve">independentemente de pedido do contratado, </w:t>
      </w:r>
      <w:bookmarkEnd w:id="0"/>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rPr/>
      </w:pPr>
      <w:r>
        <w:rPr>
          <w:rFonts w:cs="Verdana" w:ascii="Verdana" w:hAnsi="Verdana"/>
          <w:b/>
          <w:bCs/>
        </w:rPr>
        <w:t xml:space="preserve">4.8 </w:t>
      </w:r>
      <w:bookmarkStart w:id="1" w:name="_Hlk146015535"/>
      <w:r>
        <w:rPr>
          <w:rFonts w:cs="Verdana" w:ascii="Verdana" w:hAnsi="Verdana"/>
        </w:rPr>
        <w:t>O reajuste será realizado por apostilamento.</w:t>
      </w:r>
      <w:bookmarkEnd w:id="1"/>
    </w:p>
    <w:p>
      <w:pPr>
        <w:pStyle w:val="Nivel2"/>
        <w:tabs>
          <w:tab w:val="clear" w:pos="0"/>
        </w:tabs>
        <w:spacing w:before="0" w:after="0"/>
        <w:rPr>
          <w:rFonts w:ascii="Verdana" w:hAnsi="Verdana" w:cs="Verdana"/>
        </w:rPr>
      </w:pPr>
      <w:r>
        <w:rPr>
          <w:rFonts w:cs="Verdana" w:ascii="Verdana" w:hAnsi="Verdana"/>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jc w:val="both"/>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eastAsia="Batang;바탕" w:ascii="Verdana" w:hAnsi="Verdana"/>
          <w:color w:val="000000"/>
        </w:rPr>
        <w:t>Os recursos necessários para a prestação dos serviços correrão a conta de dotações próprias consignadas no Orçamento vigente, conforme discriminado abaixo:</w:t>
      </w:r>
    </w:p>
    <w:p>
      <w:pPr>
        <w:pStyle w:val="Normal"/>
        <w:spacing w:lineRule="auto" w:line="276"/>
        <w:jc w:val="both"/>
        <w:rPr>
          <w:rFonts w:ascii="Verdana" w:hAnsi="Verdana"/>
          <w:b/>
          <w:bCs/>
          <w:lang w:eastAsia="ar-SA"/>
        </w:rPr>
      </w:pPr>
      <w:r>
        <w:rPr>
          <w:rFonts w:ascii="Verdana" w:hAnsi="Verdana"/>
          <w:b/>
          <w:bCs/>
          <w:lang w:eastAsia="ar-SA"/>
        </w:rPr>
        <w:t xml:space="preserve"> – </w:t>
      </w:r>
      <w:r>
        <w:rPr>
          <w:rFonts w:ascii="Verdana" w:hAnsi="Verdana"/>
          <w:b/>
          <w:bCs/>
          <w:lang w:eastAsia="ar-SA"/>
        </w:rPr>
        <w:t>Secretaria Municipal de Educação</w:t>
      </w:r>
    </w:p>
    <w:p>
      <w:pPr>
        <w:pStyle w:val="Normal"/>
        <w:spacing w:lineRule="auto" w:line="276"/>
        <w:rPr>
          <w:rFonts w:ascii="Verdana" w:hAnsi="Verdana" w:eastAsia="Batang;바탕"/>
          <w:b/>
          <w:bCs/>
          <w:color w:val="000000"/>
          <w:lang w:eastAsia="ar-SA"/>
        </w:rPr>
      </w:pPr>
      <w:r>
        <w:rPr>
          <w:rFonts w:eastAsia="Batang;바탕" w:ascii="Verdana" w:hAnsi="Verdana"/>
          <w:b/>
          <w:bCs/>
          <w:color w:val="000000"/>
          <w:lang w:eastAsia="ar-SA"/>
        </w:rPr>
        <w:t>Ficha 589 – 15000025000000 – Transferência do FUNDEB.</w:t>
      </w:r>
    </w:p>
    <w:p>
      <w:pPr>
        <w:pStyle w:val="Normal"/>
        <w:tabs>
          <w:tab w:val="clear" w:pos="708"/>
          <w:tab w:val="left" w:pos="10348"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SEXTA – VIGÊNCIA</w:t>
      </w:r>
    </w:p>
    <w:p>
      <w:pPr>
        <w:pStyle w:val="Normal"/>
        <w:spacing w:lineRule="auto" w:line="276"/>
        <w:jc w:val="both"/>
        <w:rPr/>
      </w:pPr>
      <w:r>
        <w:rPr>
          <w:rFonts w:cs="Verdana" w:ascii="Verdana" w:hAnsi="Verdana"/>
          <w:b/>
        </w:rPr>
        <w:t>6.1 –</w:t>
      </w:r>
      <w:r>
        <w:rPr>
          <w:rFonts w:cs="Verdana" w:ascii="Verdana" w:hAnsi="Verdana"/>
        </w:rPr>
        <w:t xml:space="preserve"> A vigência do contrato será de 12 (doze) meses, contados a partir da assinatura do contrato.</w:t>
      </w:r>
    </w:p>
    <w:p>
      <w:pPr>
        <w:pStyle w:val="Normal"/>
        <w:spacing w:lineRule="auto" w:line="276"/>
        <w:jc w:val="both"/>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SÉTIMA – OBRIGAÇÕES DA CONTRATADA</w:t>
      </w:r>
    </w:p>
    <w:p>
      <w:pPr>
        <w:pStyle w:val="Normal"/>
        <w:spacing w:lineRule="auto" w:line="276"/>
        <w:jc w:val="both"/>
        <w:rPr/>
      </w:pPr>
      <w:r>
        <w:rPr>
          <w:rFonts w:cs="Verdana" w:ascii="Verdana" w:hAnsi="Verdana"/>
          <w:b/>
        </w:rPr>
        <w:t>7.1 –</w:t>
      </w:r>
      <w:r>
        <w:rPr>
          <w:rFonts w:cs="Verdana" w:ascii="Verdana" w:hAnsi="Verdana"/>
        </w:rPr>
        <w:t xml:space="preserve"> </w:t>
      </w:r>
      <w:r>
        <w:rPr>
          <w:rFonts w:cs="Arial" w:ascii="Verdana" w:hAnsi="Verdana"/>
          <w:color w:val="000000"/>
        </w:rPr>
        <w:t>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76"/>
        <w:jc w:val="both"/>
        <w:rPr/>
      </w:pPr>
      <w:r>
        <w:rPr>
          <w:rFonts w:cs="Arial" w:ascii="Verdana" w:hAnsi="Verdana"/>
          <w:b/>
          <w:bCs/>
          <w:color w:val="000000"/>
        </w:rPr>
        <w:t>7.2</w:t>
      </w:r>
      <w:r>
        <w:rPr>
          <w:rFonts w:cs="Arial" w:ascii="Verdana" w:hAnsi="Verdana"/>
          <w:color w:val="000000"/>
        </w:rPr>
        <w:t>.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76"/>
        <w:jc w:val="both"/>
        <w:rPr/>
      </w:pPr>
      <w:r>
        <w:rPr>
          <w:rFonts w:cs="Arial" w:ascii="Verdana" w:hAnsi="Verdana"/>
          <w:b/>
          <w:bCs/>
          <w:color w:val="000000"/>
        </w:rPr>
        <w:t>7.3</w:t>
      </w:r>
      <w:r>
        <w:rPr>
          <w:rFonts w:cs="Arial" w:ascii="Verdana" w:hAnsi="Verdana"/>
          <w:color w:val="000000"/>
        </w:rPr>
        <w:t>. Responsabilizar-se pelos vícios e danos decorrentes do objeto.</w:t>
      </w:r>
    </w:p>
    <w:p>
      <w:pPr>
        <w:pStyle w:val="Normal"/>
        <w:spacing w:lineRule="auto" w:line="276"/>
        <w:jc w:val="both"/>
        <w:rPr/>
      </w:pPr>
      <w:r>
        <w:rPr>
          <w:rFonts w:cs="Arial" w:ascii="Verdana" w:hAnsi="Verdana"/>
          <w:b/>
          <w:bCs/>
          <w:color w:val="000000"/>
        </w:rPr>
        <w:t>7.4</w:t>
      </w:r>
      <w:r>
        <w:rPr>
          <w:rFonts w:cs="Arial" w:ascii="Verdana" w:hAnsi="Verdana"/>
          <w:color w:val="000000"/>
        </w:rPr>
        <w:t>.</w:t>
      </w:r>
      <w:r>
        <w:rPr>
          <w:rFonts w:cs="Arial" w:ascii="Verdana" w:hAnsi="Verdana"/>
          <w:b/>
          <w:bCs/>
          <w:color w:val="000000"/>
        </w:rPr>
        <w:t xml:space="preserve"> </w:t>
      </w:r>
      <w:r>
        <w:rPr>
          <w:rFonts w:cs="Arial" w:ascii="Verdana" w:hAnsi="Verdana"/>
          <w:color w:val="000000"/>
        </w:rPr>
        <w:t>Substituir, reparar ou corrigir, às suas expensas, no prazo fixado neste Termo de Referência, o objeto com avarias ou defeitos.</w:t>
      </w:r>
    </w:p>
    <w:p>
      <w:pPr>
        <w:pStyle w:val="Normal"/>
        <w:spacing w:lineRule="auto" w:line="276"/>
        <w:jc w:val="both"/>
        <w:rPr/>
      </w:pPr>
      <w:r>
        <w:rPr>
          <w:rFonts w:cs="Arial" w:ascii="Verdana" w:hAnsi="Verdana"/>
          <w:b/>
          <w:bCs/>
          <w:color w:val="000000"/>
        </w:rPr>
        <w:t>7.5</w:t>
      </w:r>
      <w:r>
        <w:rPr>
          <w:rFonts w:cs="Arial" w:ascii="Verdana" w:hAnsi="Verdana"/>
          <w:color w:val="000000"/>
        </w:rPr>
        <w:t>. Comunicar à Contratante, no prazo máximo de 12 (doze) horas que antecede a data da entrega, os motivos que impossibilitem o cumprimento do prazo previsto, com a devida comprovação.</w:t>
      </w:r>
    </w:p>
    <w:p>
      <w:pPr>
        <w:pStyle w:val="Normal"/>
        <w:spacing w:lineRule="auto" w:line="276"/>
        <w:jc w:val="both"/>
        <w:rPr/>
      </w:pPr>
      <w:r>
        <w:rPr>
          <w:rFonts w:cs="Arial" w:ascii="Verdana" w:hAnsi="Verdana"/>
          <w:b/>
          <w:bCs/>
          <w:color w:val="000000"/>
        </w:rPr>
        <w:t>7.6</w:t>
      </w:r>
      <w:r>
        <w:rPr>
          <w:rFonts w:cs="Arial" w:ascii="Verdana" w:hAnsi="Verdana"/>
          <w:color w:val="000000"/>
        </w:rPr>
        <w:t>.</w:t>
      </w:r>
      <w:r>
        <w:rPr>
          <w:rFonts w:cs="Arial" w:ascii="Verdana" w:hAnsi="Verdana"/>
          <w:b/>
          <w:bCs/>
          <w:color w:val="000000"/>
        </w:rPr>
        <w:t xml:space="preserve"> </w:t>
      </w:r>
      <w:r>
        <w:rPr>
          <w:rFonts w:cs="Arial" w:ascii="Verdana" w:hAnsi="Verdana"/>
          <w:color w:val="000000"/>
        </w:rPr>
        <w:t>Manter, durante toda a execução do contrato, em compatibilidade com as obrigações assumidas, todas as condições de habilitação e qualificação exigidas no chamamento público.</w:t>
      </w:r>
    </w:p>
    <w:p>
      <w:pPr>
        <w:pStyle w:val="Normal"/>
        <w:tabs>
          <w:tab w:val="clear" w:pos="708"/>
          <w:tab w:val="left" w:pos="0" w:leader="none"/>
        </w:tabs>
        <w:spacing w:lineRule="auto" w:line="276"/>
        <w:jc w:val="both"/>
        <w:rPr/>
      </w:pPr>
      <w:r>
        <w:rPr>
          <w:rFonts w:cs="Arial" w:ascii="Verdana" w:hAnsi="Verdana"/>
          <w:b/>
          <w:bCs/>
          <w:color w:val="000000"/>
        </w:rPr>
        <w:t>7.7</w:t>
      </w:r>
      <w:r>
        <w:rPr>
          <w:rFonts w:cs="Arial" w:ascii="Verdana" w:hAnsi="Verdana"/>
          <w:color w:val="000000"/>
        </w:rPr>
        <w:t>. Indicar preposto para representá-la durante a execução da ata contrato.</w:t>
      </w:r>
    </w:p>
    <w:p>
      <w:pPr>
        <w:pStyle w:val="Normal"/>
        <w:tabs>
          <w:tab w:val="clear" w:pos="708"/>
          <w:tab w:val="left" w:pos="450" w:leader="none"/>
        </w:tabs>
        <w:spacing w:lineRule="auto" w:line="276"/>
        <w:jc w:val="both"/>
        <w:rPr/>
      </w:pPr>
      <w:r>
        <w:rPr>
          <w:rFonts w:cs="Arial" w:ascii="Verdana" w:hAnsi="Verdana"/>
          <w:b/>
          <w:bCs/>
          <w:color w:val="000000"/>
        </w:rPr>
        <w:t>7.8</w:t>
      </w:r>
      <w:r>
        <w:rPr>
          <w:rFonts w:cs="Arial" w:ascii="Verdana" w:hAnsi="Verdana"/>
          <w:color w:val="000000"/>
        </w:rPr>
        <w:t>.</w:t>
      </w:r>
      <w:r>
        <w:rPr>
          <w:rFonts w:cs="Arial" w:ascii="Verdana" w:hAnsi="Verdana"/>
          <w:b/>
          <w:bCs/>
          <w:color w:val="000000"/>
        </w:rPr>
        <w:t xml:space="preserve"> </w:t>
      </w:r>
      <w:r>
        <w:rPr>
          <w:rFonts w:cs="Arial" w:ascii="Verdana" w:hAnsi="Verdana"/>
          <w:color w:val="00000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76"/>
        <w:jc w:val="both"/>
        <w:rPr/>
      </w:pPr>
      <w:r>
        <w:rPr>
          <w:rFonts w:cs="Arial" w:ascii="Verdana" w:hAnsi="Verdana"/>
          <w:b/>
          <w:bCs/>
          <w:color w:val="000000"/>
        </w:rPr>
        <w:t>7.9</w:t>
      </w:r>
      <w:r>
        <w:rPr>
          <w:rFonts w:cs="Arial" w:ascii="Verdana" w:hAnsi="Verdana"/>
          <w:color w:val="000000"/>
        </w:rPr>
        <w:t>. Durante a execução do contrato, a CONTRATADA deverá:</w:t>
      </w:r>
      <w:r>
        <w:rPr>
          <w:rFonts w:ascii="Verdana" w:hAnsi="Verdana"/>
        </w:rPr>
        <w:br/>
      </w:r>
      <w:r>
        <w:rPr>
          <w:rFonts w:ascii="Verdana" w:hAnsi="Verdana"/>
          <w:b/>
          <w:bCs/>
          <w:i/>
          <w:iCs/>
        </w:rPr>
        <w:t>7</w:t>
      </w:r>
      <w:r>
        <w:rPr>
          <w:rFonts w:cs="Arial" w:ascii="Verdana" w:hAnsi="Verdana"/>
          <w:b/>
          <w:bCs/>
          <w:i/>
          <w:iCs/>
          <w:color w:val="000000"/>
        </w:rPr>
        <w:t>.9.1</w:t>
      </w:r>
      <w:r>
        <w:rPr>
          <w:rFonts w:cs="Arial" w:ascii="Verdana" w:hAnsi="Verdana"/>
          <w:color w:val="000000"/>
        </w:rPr>
        <w:t>.</w:t>
      </w:r>
      <w:r>
        <w:rPr>
          <w:rFonts w:cs="Arial" w:ascii="Verdana" w:hAnsi="Verdana"/>
          <w:b/>
          <w:bCs/>
          <w:color w:val="000000"/>
        </w:rPr>
        <w:t xml:space="preserve"> </w:t>
      </w:r>
      <w:r>
        <w:rPr>
          <w:rFonts w:cs="Arial" w:ascii="Verdana" w:hAnsi="Verdana"/>
          <w:color w:val="000000"/>
        </w:rPr>
        <w:t>Atender prontamente às solicitações da secretaria requisitante nas quantidades e especificações deste TERMO DE REFERÊNCIA e CONTRATO.</w:t>
      </w:r>
    </w:p>
    <w:p>
      <w:pPr>
        <w:pStyle w:val="Normal"/>
        <w:tabs>
          <w:tab w:val="clear" w:pos="708"/>
          <w:tab w:val="left" w:pos="0" w:leader="none"/>
        </w:tabs>
        <w:spacing w:lineRule="auto" w:line="276"/>
        <w:jc w:val="both"/>
        <w:rPr/>
      </w:pPr>
      <w:r>
        <w:rPr>
          <w:rFonts w:cs="Arial" w:ascii="Verdana" w:hAnsi="Verdana"/>
          <w:b/>
          <w:bCs/>
          <w:i/>
          <w:iCs/>
          <w:color w:val="000000"/>
        </w:rPr>
        <w:t>7.9.2</w:t>
      </w:r>
      <w:r>
        <w:rPr>
          <w:rFonts w:cs="Arial" w:ascii="Verdana" w:hAnsi="Verdana"/>
          <w:b/>
          <w:bCs/>
          <w:color w:val="000000"/>
        </w:rPr>
        <w:t xml:space="preserve">. </w:t>
      </w:r>
      <w:r>
        <w:rPr>
          <w:rFonts w:cs="Arial" w:ascii="Verdana" w:hAnsi="Verdana"/>
          <w:color w:val="000000"/>
        </w:rPr>
        <w:t>Entregar os gêneros alimentícios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jc w:val="both"/>
        <w:rPr/>
      </w:pPr>
      <w:r>
        <w:rPr>
          <w:rFonts w:cs="Arial" w:ascii="Verdana" w:hAnsi="Verdana"/>
          <w:b/>
          <w:bCs/>
          <w:i/>
          <w:iCs/>
          <w:color w:val="000000"/>
        </w:rPr>
        <w:t>7.9.3</w:t>
      </w:r>
      <w:r>
        <w:rPr>
          <w:rFonts w:cs="Arial" w:ascii="Verdana" w:hAnsi="Verdana"/>
          <w:color w:val="000000"/>
        </w:rPr>
        <w:t>. A nota fiscal deverá ser acompanhada pelas Certidões de Regularidades Fiscais, exigidos para a habilitação no procedimento licitatório.</w:t>
      </w:r>
    </w:p>
    <w:p>
      <w:pPr>
        <w:pStyle w:val="Normal"/>
        <w:tabs>
          <w:tab w:val="clear" w:pos="708"/>
          <w:tab w:val="left" w:pos="0" w:leader="none"/>
        </w:tabs>
        <w:spacing w:lineRule="auto" w:line="276"/>
        <w:jc w:val="both"/>
        <w:rPr/>
      </w:pPr>
      <w:r>
        <w:rPr>
          <w:rFonts w:ascii="Verdana" w:hAnsi="Verdana"/>
          <w:b/>
          <w:bCs/>
        </w:rPr>
        <w:t>7</w:t>
      </w:r>
      <w:r>
        <w:rPr>
          <w:rFonts w:cs="Arial" w:ascii="Verdana" w:hAnsi="Verdana"/>
          <w:b/>
          <w:bCs/>
          <w:color w:val="000000"/>
        </w:rPr>
        <w:t>.9.4</w:t>
      </w:r>
      <w:r>
        <w:rPr>
          <w:rFonts w:cs="Arial" w:ascii="Verdana" w:hAnsi="Verdana"/>
          <w:color w:val="000000"/>
        </w:rPr>
        <w:t>. Substituir quaisquer item  que não esteja dentro do padrão de qualidade, em bom estado de conservação, que apresente defeito ou não esteja em conformidade com as especificações da proposta apresentada.</w:t>
      </w:r>
    </w:p>
    <w:p>
      <w:pPr>
        <w:pStyle w:val="Normal"/>
        <w:spacing w:lineRule="auto" w:line="276"/>
        <w:jc w:val="both"/>
        <w:rPr/>
      </w:pPr>
      <w:r>
        <w:rPr>
          <w:rFonts w:cs="Arial" w:ascii="Verdana" w:hAnsi="Verdana"/>
          <w:b/>
          <w:bCs/>
          <w:i/>
          <w:iCs/>
          <w:color w:val="000000"/>
          <w:lang w:eastAsia="en-US"/>
        </w:rPr>
        <w:t>7.9.5</w:t>
      </w:r>
      <w:r>
        <w:rPr>
          <w:rFonts w:cs="Arial" w:ascii="Verdana" w:hAnsi="Verdana"/>
          <w:color w:val="000000"/>
          <w:lang w:eastAsia="en-US"/>
        </w:rPr>
        <w:t>.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ListParagraph"/>
        <w:tabs>
          <w:tab w:val="clear" w:pos="708"/>
          <w:tab w:val="left" w:pos="426" w:leader="none"/>
        </w:tabs>
        <w:spacing w:before="0" w:after="0"/>
        <w:ind w:hanging="0" w:left="0"/>
        <w:contextualSpacing/>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cs="Verdana"/>
          <w:b/>
          <w:u w:val="single"/>
        </w:rPr>
      </w:pPr>
      <w:r>
        <w:rPr>
          <w:rFonts w:cs="Verdana" w:ascii="Verdana" w:hAnsi="Verdana"/>
          <w:b/>
          <w:u w:val="single"/>
        </w:rPr>
        <w:t>CLÁUSULA OITAVA – OBRIGAÇÕES DA CONTRATANTE</w:t>
      </w:r>
    </w:p>
    <w:p>
      <w:pPr>
        <w:pStyle w:val="Normal"/>
        <w:spacing w:lineRule="auto" w:line="276"/>
        <w:jc w:val="both"/>
        <w:rPr/>
      </w:pPr>
      <w:r>
        <w:rPr>
          <w:rFonts w:cs="Verdana" w:ascii="Verdana" w:hAnsi="Verdana"/>
          <w:b/>
          <w:bCs/>
        </w:rPr>
        <w:t>8.1</w:t>
      </w:r>
      <w:r>
        <w:rPr>
          <w:rFonts w:cs="Verdana" w:ascii="Verdana" w:hAnsi="Verdana"/>
        </w:rPr>
        <w:t xml:space="preserve"> </w:t>
      </w:r>
      <w:r>
        <w:rPr>
          <w:rFonts w:cs="Arial" w:ascii="Verdana" w:hAnsi="Verdana"/>
          <w:color w:val="000000"/>
        </w:rPr>
        <w:t>Receber os objetos no prazo e condições estabelecidas neste Termo de Referência, no contrato e seus anexos.</w:t>
      </w:r>
    </w:p>
    <w:p>
      <w:pPr>
        <w:pStyle w:val="Normal"/>
        <w:spacing w:lineRule="auto" w:line="276"/>
        <w:jc w:val="both"/>
        <w:rPr/>
      </w:pPr>
      <w:r>
        <w:rPr>
          <w:rFonts w:cs="Arial" w:ascii="Verdana" w:hAnsi="Verdana"/>
          <w:b/>
          <w:bCs/>
          <w:color w:val="000000"/>
        </w:rPr>
        <w:t xml:space="preserve">8.2. </w:t>
      </w:r>
      <w:r>
        <w:rPr>
          <w:rFonts w:cs="Arial" w:ascii="Verdana" w:hAnsi="Verdana"/>
          <w:color w:val="000000"/>
        </w:rPr>
        <w:t>Verificar minuciosamente, no prazo fixado, a conformidade dos gêneros alimentícios provisoriamente com as especificações constantes neste Termo de Referência, da proposta e contrato para fins de aceitação e recebimento definitivo.</w:t>
      </w:r>
    </w:p>
    <w:p>
      <w:pPr>
        <w:pStyle w:val="Normal"/>
        <w:spacing w:lineRule="auto" w:line="276"/>
        <w:jc w:val="both"/>
        <w:rPr/>
      </w:pPr>
      <w:r>
        <w:rPr>
          <w:rFonts w:cs="Arial" w:ascii="Verdana" w:hAnsi="Verdana"/>
          <w:b/>
          <w:bCs/>
          <w:color w:val="000000"/>
        </w:rPr>
        <w:t>8.3</w:t>
      </w:r>
      <w:r>
        <w:rPr>
          <w:rFonts w:cs="Arial" w:ascii="Verdana" w:hAnsi="Verdana"/>
          <w:color w:val="000000"/>
        </w:rPr>
        <w:t>. Comunicar à Contratada, por escrito, sobre imperfeições, falhas ou irregularidades verificadas no objeto fornecido, para que seja substituído, reparado ou corrigido.</w:t>
      </w:r>
    </w:p>
    <w:p>
      <w:pPr>
        <w:pStyle w:val="Normal"/>
        <w:spacing w:lineRule="auto" w:line="276"/>
        <w:jc w:val="both"/>
        <w:rPr/>
      </w:pPr>
      <w:r>
        <w:rPr>
          <w:rFonts w:cs="Arial" w:ascii="Verdana" w:hAnsi="Verdana"/>
          <w:b/>
          <w:bCs/>
          <w:color w:val="000000"/>
        </w:rPr>
        <w:t>8.4</w:t>
      </w:r>
      <w:r>
        <w:rPr>
          <w:rFonts w:cs="Arial" w:ascii="Verdana" w:hAnsi="Verdana"/>
          <w:color w:val="000000"/>
        </w:rPr>
        <w:t>. Acompanhar e fiscalizar o cumprimento das obrigações da Contratada, através de comissão/servidor especialmente designado.</w:t>
      </w:r>
    </w:p>
    <w:p>
      <w:pPr>
        <w:pStyle w:val="Normal"/>
        <w:spacing w:lineRule="auto" w:line="276"/>
        <w:jc w:val="both"/>
        <w:rPr/>
      </w:pPr>
      <w:r>
        <w:rPr>
          <w:rFonts w:cs="Arial" w:ascii="Verdana" w:hAnsi="Verdana"/>
          <w:b/>
          <w:bCs/>
          <w:color w:val="000000"/>
        </w:rPr>
        <w:t>8.5</w:t>
      </w:r>
      <w:r>
        <w:rPr>
          <w:rFonts w:cs="Arial" w:ascii="Verdana" w:hAnsi="Verdana"/>
          <w:color w:val="000000"/>
        </w:rPr>
        <w:t>. Efetuar o pagamento à Contratada no valor correspondente ao fornecimento dos  gêneros alimentícios, no prazo e forma estabelecidos neste Termo de Referência, seus anexos e contrato.</w:t>
      </w:r>
    </w:p>
    <w:p>
      <w:pPr>
        <w:pStyle w:val="Normal"/>
        <w:spacing w:lineRule="auto" w:line="276"/>
        <w:jc w:val="both"/>
        <w:rPr/>
      </w:pPr>
      <w:r>
        <w:rPr>
          <w:rFonts w:cs="Arial" w:ascii="Verdana" w:hAnsi="Verdana"/>
          <w:b/>
          <w:bCs/>
          <w:color w:val="000000"/>
          <w:lang w:eastAsia="en-US"/>
        </w:rPr>
        <w:t>8.6</w:t>
      </w:r>
      <w:r>
        <w:rPr>
          <w:rFonts w:cs="Arial" w:ascii="Verdana" w:hAnsi="Verdana"/>
          <w:color w:val="000000"/>
          <w:lang w:eastAsia="en-US"/>
        </w:rPr>
        <w:t>.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ListParagraph"/>
        <w:tabs>
          <w:tab w:val="clear" w:pos="708"/>
          <w:tab w:val="left" w:pos="426" w:leader="none"/>
        </w:tabs>
        <w:spacing w:before="0" w:after="0"/>
        <w:ind w:hanging="0" w:left="0"/>
        <w:contextualSpacing/>
        <w:rPr>
          <w:rFonts w:ascii="Verdana" w:hAnsi="Verdana"/>
          <w:sz w:val="20"/>
          <w:szCs w:val="20"/>
        </w:rPr>
      </w:pPr>
      <w:r>
        <w:rPr>
          <w:rFonts w:ascii="Verdana" w:hAnsi="Verdana"/>
          <w:sz w:val="20"/>
          <w:szCs w:val="20"/>
        </w:rPr>
      </w:r>
    </w:p>
    <w:p>
      <w:pPr>
        <w:pStyle w:val="Normal"/>
        <w:spacing w:lineRule="auto" w:line="276"/>
        <w:jc w:val="both"/>
        <w:rPr/>
      </w:pPr>
      <w:r>
        <w:rPr>
          <w:rFonts w:cs="Verdana" w:ascii="Verdana" w:hAnsi="Verdana"/>
          <w:b/>
          <w:u w:val="single"/>
        </w:rPr>
        <w:t xml:space="preserve">CLÁUSULA NONA – </w:t>
      </w:r>
      <w:r>
        <w:rPr>
          <w:rFonts w:cs="Arial" w:ascii="Verdana" w:hAnsi="Verdana"/>
          <w:b/>
          <w:bCs/>
          <w:color w:val="000000"/>
          <w:u w:val="single"/>
        </w:rPr>
        <w:t>DO CONTROLE E FISCALIZAÇÃO DA EXECUÇÃO</w:t>
      </w:r>
    </w:p>
    <w:p>
      <w:pPr>
        <w:pStyle w:val="Normal"/>
        <w:tabs>
          <w:tab w:val="clear" w:pos="708"/>
          <w:tab w:val="left" w:pos="378" w:leader="none"/>
        </w:tabs>
        <w:spacing w:lineRule="auto" w:line="276"/>
        <w:jc w:val="both"/>
        <w:rPr/>
      </w:pPr>
      <w:r>
        <w:rPr>
          <w:rFonts w:cs="Verdana" w:ascii="Verdana" w:hAnsi="Verdana"/>
          <w:b/>
        </w:rPr>
        <w:t>9.1 –</w:t>
      </w:r>
      <w:r>
        <w:rPr>
          <w:rFonts w:cs="Verdana" w:ascii="Verdana" w:hAnsi="Verdana"/>
        </w:rPr>
        <w:t xml:space="preserve"> </w:t>
      </w:r>
      <w:r>
        <w:rPr>
          <w:rFonts w:cs="Arial" w:ascii="Verdana" w:hAnsi="Verdana"/>
          <w:color w:val="00000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pPr>
        <w:pStyle w:val="Normal"/>
        <w:spacing w:lineRule="auto" w:line="276"/>
        <w:jc w:val="both"/>
        <w:rPr/>
      </w:pPr>
      <w:r>
        <w:rPr>
          <w:rFonts w:cs="Arial" w:ascii="Verdana" w:hAnsi="Verdana"/>
          <w:b/>
          <w:bCs/>
          <w:color w:val="000000"/>
        </w:rPr>
        <w:t>9.2</w:t>
      </w:r>
      <w:r>
        <w:rPr>
          <w:rFonts w:cs="Arial" w:ascii="Verdana" w:hAnsi="Verdana"/>
          <w:color w:val="00000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pPr>
      <w:r>
        <w:rPr>
          <w:rFonts w:cs="Arial" w:ascii="Verdana" w:hAnsi="Verdana"/>
          <w:b/>
          <w:bCs/>
          <w:color w:val="000000"/>
        </w:rPr>
        <w:t>9.3</w:t>
      </w:r>
      <w:r>
        <w:rPr>
          <w:rFonts w:cs="Arial" w:ascii="Verdana" w:hAnsi="Verdana"/>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cs="Arial" w:ascii="Verdana" w:hAnsi="Verdana"/>
          <w:color w:val="000000"/>
        </w:rPr>
        <w:t xml:space="preserve">for necessário à regularização das falhas ou </w:t>
      </w:r>
      <w:r>
        <w:rPr>
          <w:rFonts w:ascii="Verdana" w:hAnsi="Verdana"/>
        </w:rPr>
        <w:t>defeitos observados e encaminhando os apontamentos à autoridade competente para as providências cabíveis.</w:t>
      </w:r>
    </w:p>
    <w:p>
      <w:pPr>
        <w:pStyle w:val="Normal"/>
        <w:tabs>
          <w:tab w:val="clear" w:pos="708"/>
          <w:tab w:val="left" w:pos="378" w:leader="none"/>
        </w:tabs>
        <w:spacing w:lineRule="auto" w:line="276"/>
        <w:jc w:val="both"/>
        <w:rPr>
          <w:rFonts w:ascii="Verdana" w:hAnsi="Verdana" w:cs="Verdana"/>
          <w:b/>
          <w:bCs/>
          <w:i/>
          <w:i/>
          <w:iCs/>
        </w:rPr>
      </w:pPr>
      <w:r>
        <w:rPr>
          <w:rFonts w:cs="Verdana" w:ascii="Verdana" w:hAnsi="Verdana"/>
          <w:b/>
          <w:bCs/>
          <w:i/>
          <w:iCs/>
        </w:rPr>
        <w:t>9.4. No caso de interrupção das entregas, por parte da contratada, o gestor do contrato tomará as providências cabíveis, de acordo com as cláusulas do edital e do contrato.</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u w:val="single"/>
        </w:rPr>
      </w:pPr>
      <w:r>
        <w:rPr>
          <w:rFonts w:cs="Verdana" w:ascii="Verdana" w:hAnsi="Verdana"/>
          <w:b/>
          <w:u w:val="single"/>
        </w:rPr>
        <w:t>CLÁUSULA DÉCIMA – DAS PENALIDADES.</w:t>
      </w:r>
    </w:p>
    <w:p>
      <w:pPr>
        <w:pStyle w:val="Corpodetexto1"/>
        <w:overflowPunct w:val="true"/>
        <w:spacing w:lineRule="auto" w:line="276" w:before="0" w:after="0"/>
        <w:jc w:val="both"/>
        <w:textAlignment w:val="auto"/>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true"/>
        <w:spacing w:lineRule="auto" w:line="276"/>
        <w:jc w:val="both"/>
        <w:textAlignment w:val="auto"/>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jc w:val="both"/>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true"/>
        <w:spacing w:lineRule="auto" w:line="276"/>
        <w:jc w:val="both"/>
        <w:textAlignment w:val="auto"/>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true"/>
        <w:spacing w:lineRule="auto" w:line="276"/>
        <w:jc w:val="both"/>
        <w:textAlignment w:val="auto"/>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tru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PRIMEIRA – RESCISÃO DO CONTRATO</w:t>
      </w:r>
    </w:p>
    <w:p>
      <w:pPr>
        <w:pStyle w:val="Normal"/>
        <w:spacing w:lineRule="auto" w:line="276"/>
        <w:jc w:val="both"/>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true"/>
        <w:spacing w:lineRule="auto" w:line="276"/>
        <w:jc w:val="both"/>
        <w:textAlignment w:val="auto"/>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rPr>
        <w:t>Judicial, nos termos da legislação.</w:t>
      </w:r>
    </w:p>
    <w:p>
      <w:pPr>
        <w:pStyle w:val="Normal"/>
        <w:spacing w:lineRule="auto" w:line="276"/>
        <w:jc w:val="both"/>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pPr>
      <w:r>
        <w:rPr>
          <w:rFonts w:cs="Verdana" w:ascii="Verdana" w:hAnsi="Verdana"/>
          <w:b/>
          <w:u w:val="single"/>
        </w:rPr>
        <w:t>CLÁUSULA DÉCIMA SEGUNDA – DA LEGISLAÇÃO APLICÁVEL</w:t>
      </w:r>
    </w:p>
    <w:p>
      <w:pPr>
        <w:pStyle w:val="Normal"/>
        <w:spacing w:lineRule="auto" w:line="276"/>
        <w:jc w:val="both"/>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cs="Verdana"/>
          <w:sz w:val="20"/>
          <w:szCs w:val="20"/>
          <w:u w:val="single"/>
        </w:rPr>
      </w:pPr>
      <w:r>
        <w:rPr>
          <w:rFonts w:cs="Verdana" w:ascii="Verdana" w:hAnsi="Verdana"/>
          <w:sz w:val="20"/>
          <w:szCs w:val="20"/>
          <w:u w:val="single"/>
        </w:rPr>
        <w:t>CLÁUSULA DÉCIMA QUARTA – DO ADITAMENTO</w:t>
      </w:r>
    </w:p>
    <w:p>
      <w:pPr>
        <w:pStyle w:val="Normal"/>
        <w:spacing w:lineRule="auto" w:line="276"/>
        <w:jc w:val="both"/>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QUINTA – DA PUBLICAÇÃO</w:t>
      </w:r>
    </w:p>
    <w:p>
      <w:pPr>
        <w:pStyle w:val="Normal"/>
        <w:spacing w:lineRule="auto" w:line="276"/>
        <w:jc w:val="both"/>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cs="Verdana"/>
          <w:b/>
          <w:sz w:val="20"/>
          <w:u w:val="single"/>
        </w:rPr>
      </w:pPr>
      <w:r>
        <w:rPr>
          <w:rFonts w:cs="Verdana" w:ascii="Verdana" w:hAnsi="Verdana"/>
          <w:b/>
          <w:sz w:val="20"/>
          <w:u w:val="single"/>
        </w:rPr>
        <w:t>CLÁUSULA DÉCIMA SEXTA – FORO</w:t>
      </w:r>
    </w:p>
    <w:p>
      <w:pPr>
        <w:pStyle w:val="Normal"/>
        <w:spacing w:lineRule="auto" w:line="276"/>
        <w:jc w:val="both"/>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2025.</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cs="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cs="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701" w:right="1134" w:gutter="0" w:header="284" w:top="1694" w:footer="250" w:bottom="75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tru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tru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InternetLink" w:customStyle="1">
    <w:name w:val="Internet Link"/>
    <w:qFormat/>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1" w:customStyle="1">
    <w:name w:val="Internet Link1"/>
    <w:qFormat/>
    <w:rPr>
      <w:color w:val="000080"/>
      <w:u w:val="single"/>
    </w:rPr>
  </w:style>
  <w:style w:type="character" w:styleId="Marcadores" w:customStyle="1">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tru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spacing w:lineRule="auto" w:line="276" w:before="0" w:after="200"/>
      <w:ind w:hanging="0" w:left="720"/>
      <w:contextualSpacing/>
    </w:pPr>
    <w:rPr>
      <w:rFonts w:ascii="Calibri" w:hAnsi="Calibri" w:eastAsia="Calibri" w:cs="Calibri"/>
      <w:sz w:val="22"/>
      <w:szCs w:val="22"/>
    </w:rPr>
  </w:style>
  <w:style w:type="paragraph" w:styleId="Contedodatabela" w:customStyle="1">
    <w:name w:val="Conteúdo da tabela"/>
    <w:basedOn w:val="Normal"/>
    <w:qFormat/>
    <w:pPr>
      <w:widowControl w:val="false"/>
      <w:suppressLineNumbers/>
      <w:overflowPunct w:val="tru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tru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tru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hanging="0" w:left="283"/>
    </w:pPr>
    <w:rPr>
      <w:sz w:val="16"/>
      <w:szCs w:val="16"/>
    </w:rPr>
  </w:style>
  <w:style w:type="paragraph" w:styleId="Corpodetexto21" w:customStyle="1">
    <w:name w:val="Corpo de texto 21"/>
    <w:basedOn w:val="Normal"/>
    <w:qFormat/>
    <w:pPr>
      <w:overflowPunct w:val="true"/>
      <w:spacing w:lineRule="auto" w:line="480" w:before="0" w:after="120"/>
      <w:textAlignment w:val="auto"/>
    </w:pPr>
    <w:rPr>
      <w:kern w:val="2"/>
    </w:rPr>
  </w:style>
  <w:style w:type="paragraph" w:styleId="Default" w:customStyle="1">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overflowPunct w:val="fals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tru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fals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tru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tru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true"/>
      <w:spacing w:lineRule="auto" w:line="276" w:before="120" w:after="120"/>
      <w:ind w:hanging="0" w:left="284"/>
      <w:jc w:val="both"/>
      <w:textAlignment w:val="auto"/>
    </w:pPr>
    <w:rPr>
      <w:rFonts w:ascii="Arial" w:hAnsi="Arial" w:eastAsia="MS Mincho;ＭＳ 明朝" w:cs="Arial"/>
      <w:color w:val="000000"/>
    </w:rPr>
  </w:style>
  <w:style w:type="paragraph" w:styleId="Nivel4" w:customStyle="1">
    <w:name w:val="Nivel 4"/>
    <w:basedOn w:val="Nivel3"/>
    <w:qFormat/>
    <w:pPr>
      <w:ind w:hanging="0" w:left="567"/>
    </w:pPr>
    <w:rPr/>
  </w:style>
  <w:style w:type="paragraph" w:styleId="Nivel5" w:customStyle="1">
    <w:name w:val="Nivel 5"/>
    <w:basedOn w:val="Nivel4"/>
    <w:qFormat/>
    <w:pPr>
      <w:ind w:hanging="0" w:left="851"/>
    </w:pPr>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financeirosemecsgp@gmail.com" TargetMode="External"/><Relationship Id="rId3" Type="http://schemas.openxmlformats.org/officeDocument/2006/relationships/hyperlink" Target="https://www.planalto.gov.br/ccivil_03/leis/lcp/lcp123.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463</TotalTime>
  <Application>LibreOffice/24.2.6.2$Windows_X86_64 LibreOffice_project/ef66aa7e36a1bb8e65bfbc63aba53045a14d0871</Application>
  <AppVersion>15.0000</AppVersion>
  <Pages>7</Pages>
  <Words>3045</Words>
  <Characters>17724</Characters>
  <CharactersWithSpaces>20654</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2025-05-06T15:20:37Z</cp:lastPrinted>
  <dcterms:modified xsi:type="dcterms:W3CDTF">2026-01-06T14:33:12Z</dcterms:modified>
  <cp:revision>25</cp:revision>
  <dc:subject/>
  <dc:title>E D I T A L</dc:title>
</cp:coreProperties>
</file>

<file path=docProps/custom.xml><?xml version="1.0" encoding="utf-8"?>
<Properties xmlns="http://schemas.openxmlformats.org/officeDocument/2006/custom-properties" xmlns:vt="http://schemas.openxmlformats.org/officeDocument/2006/docPropsVTypes"/>
</file>